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54"/>
        <w:gridCol w:w="3128"/>
        <w:gridCol w:w="1701"/>
        <w:gridCol w:w="1933"/>
      </w:tblGrid>
      <w:tr w:rsidR="00EF3960" w14:paraId="7EFE3324" w14:textId="77777777" w:rsidTr="00D14803">
        <w:tc>
          <w:tcPr>
            <w:tcW w:w="2254" w:type="dxa"/>
            <w:shd w:val="clear" w:color="auto" w:fill="8EAADB" w:themeFill="accent1" w:themeFillTint="99"/>
            <w:vAlign w:val="center"/>
          </w:tcPr>
          <w:p w14:paraId="59EEC889" w14:textId="77777777" w:rsidR="00EF3960" w:rsidRDefault="00EF3960" w:rsidP="00D14803">
            <w:pPr>
              <w:jc w:val="right"/>
              <w:rPr>
                <w:b/>
                <w:bCs/>
              </w:rPr>
            </w:pPr>
          </w:p>
          <w:p w14:paraId="389009D6" w14:textId="77777777" w:rsidR="00EF3960" w:rsidRDefault="00EF3960" w:rsidP="00D14803">
            <w:pPr>
              <w:jc w:val="right"/>
              <w:rPr>
                <w:b/>
                <w:bCs/>
              </w:rPr>
            </w:pPr>
            <w:r>
              <w:rPr>
                <w:b/>
                <w:bCs/>
              </w:rPr>
              <w:t>Policy Name</w:t>
            </w:r>
          </w:p>
          <w:p w14:paraId="08D616F6" w14:textId="77777777" w:rsidR="00EF3960" w:rsidRDefault="00EF3960" w:rsidP="00D14803">
            <w:pPr>
              <w:jc w:val="right"/>
              <w:rPr>
                <w:b/>
                <w:bCs/>
              </w:rPr>
            </w:pPr>
          </w:p>
        </w:tc>
        <w:tc>
          <w:tcPr>
            <w:tcW w:w="3128" w:type="dxa"/>
            <w:vAlign w:val="center"/>
          </w:tcPr>
          <w:p w14:paraId="183B8208" w14:textId="77777777" w:rsidR="00EF3960" w:rsidRDefault="00EF3960" w:rsidP="00D14803">
            <w:pPr>
              <w:rPr>
                <w:b/>
                <w:bCs/>
              </w:rPr>
            </w:pPr>
            <w:r>
              <w:rPr>
                <w:b/>
                <w:bCs/>
              </w:rPr>
              <w:t>Expenses Policy</w:t>
            </w:r>
          </w:p>
        </w:tc>
        <w:tc>
          <w:tcPr>
            <w:tcW w:w="1701" w:type="dxa"/>
            <w:shd w:val="clear" w:color="auto" w:fill="8EAADB" w:themeFill="accent1" w:themeFillTint="99"/>
            <w:vAlign w:val="center"/>
          </w:tcPr>
          <w:p w14:paraId="3DF83C41" w14:textId="77777777" w:rsidR="00EF3960" w:rsidRDefault="00EF3960" w:rsidP="00D14803">
            <w:pPr>
              <w:jc w:val="right"/>
              <w:rPr>
                <w:b/>
                <w:bCs/>
              </w:rPr>
            </w:pPr>
            <w:r>
              <w:rPr>
                <w:b/>
                <w:bCs/>
              </w:rPr>
              <w:t>Policy Number</w:t>
            </w:r>
          </w:p>
        </w:tc>
        <w:tc>
          <w:tcPr>
            <w:tcW w:w="1933" w:type="dxa"/>
            <w:vAlign w:val="center"/>
          </w:tcPr>
          <w:p w14:paraId="772C7129" w14:textId="77777777" w:rsidR="00EF3960" w:rsidRPr="008C3865" w:rsidRDefault="00EF3960" w:rsidP="00D14803">
            <w:r w:rsidRPr="008C3865">
              <w:t>HR0</w:t>
            </w:r>
            <w:r>
              <w:t>05</w:t>
            </w:r>
          </w:p>
        </w:tc>
      </w:tr>
      <w:tr w:rsidR="00EF3960" w14:paraId="28B74FF6" w14:textId="77777777" w:rsidTr="00D14803">
        <w:tc>
          <w:tcPr>
            <w:tcW w:w="2254" w:type="dxa"/>
            <w:shd w:val="clear" w:color="auto" w:fill="8EAADB" w:themeFill="accent1" w:themeFillTint="99"/>
            <w:vAlign w:val="center"/>
          </w:tcPr>
          <w:p w14:paraId="78FCF904" w14:textId="77777777" w:rsidR="00EF3960" w:rsidRDefault="00EF3960" w:rsidP="00D14803">
            <w:pPr>
              <w:jc w:val="right"/>
              <w:rPr>
                <w:b/>
                <w:bCs/>
              </w:rPr>
            </w:pPr>
          </w:p>
          <w:p w14:paraId="1BEA01EC" w14:textId="77777777" w:rsidR="00EF3960" w:rsidRDefault="00EF3960" w:rsidP="00D14803">
            <w:pPr>
              <w:jc w:val="right"/>
              <w:rPr>
                <w:b/>
                <w:bCs/>
              </w:rPr>
            </w:pPr>
            <w:r>
              <w:rPr>
                <w:b/>
                <w:bCs/>
              </w:rPr>
              <w:t>Approval date</w:t>
            </w:r>
          </w:p>
          <w:p w14:paraId="7B586AC3" w14:textId="77777777" w:rsidR="00EF3960" w:rsidRDefault="00EF3960" w:rsidP="00D14803">
            <w:pPr>
              <w:jc w:val="right"/>
              <w:rPr>
                <w:b/>
                <w:bCs/>
              </w:rPr>
            </w:pPr>
          </w:p>
        </w:tc>
        <w:tc>
          <w:tcPr>
            <w:tcW w:w="3128" w:type="dxa"/>
            <w:vAlign w:val="center"/>
          </w:tcPr>
          <w:p w14:paraId="0A04A53E" w14:textId="77777777" w:rsidR="00EF3960" w:rsidRPr="008C3865" w:rsidRDefault="00EF3960" w:rsidP="00D14803">
            <w:r w:rsidRPr="008C3865">
              <w:t>June 2019</w:t>
            </w:r>
          </w:p>
        </w:tc>
        <w:tc>
          <w:tcPr>
            <w:tcW w:w="1701" w:type="dxa"/>
            <w:shd w:val="clear" w:color="auto" w:fill="8EAADB" w:themeFill="accent1" w:themeFillTint="99"/>
            <w:vAlign w:val="center"/>
          </w:tcPr>
          <w:p w14:paraId="6F43EC4D" w14:textId="77777777" w:rsidR="00EF3960" w:rsidRDefault="00EF3960" w:rsidP="00D14803">
            <w:pPr>
              <w:jc w:val="right"/>
              <w:rPr>
                <w:b/>
                <w:bCs/>
              </w:rPr>
            </w:pPr>
            <w:r>
              <w:rPr>
                <w:b/>
                <w:bCs/>
              </w:rPr>
              <w:t>To be reviewed</w:t>
            </w:r>
          </w:p>
        </w:tc>
        <w:tc>
          <w:tcPr>
            <w:tcW w:w="1933" w:type="dxa"/>
            <w:vAlign w:val="center"/>
          </w:tcPr>
          <w:p w14:paraId="1BCD2955" w14:textId="77777777" w:rsidR="00EF3960" w:rsidRPr="008C3865" w:rsidRDefault="00EF3960" w:rsidP="00D14803">
            <w:r w:rsidRPr="008C3865">
              <w:t>Annually</w:t>
            </w:r>
          </w:p>
        </w:tc>
      </w:tr>
      <w:tr w:rsidR="00EF3960" w14:paraId="73DBFCFC" w14:textId="77777777" w:rsidTr="00D14803">
        <w:tc>
          <w:tcPr>
            <w:tcW w:w="2254" w:type="dxa"/>
            <w:shd w:val="clear" w:color="auto" w:fill="8EAADB" w:themeFill="accent1" w:themeFillTint="99"/>
            <w:vAlign w:val="center"/>
          </w:tcPr>
          <w:p w14:paraId="1B835F0B" w14:textId="77777777" w:rsidR="00EF3960" w:rsidRDefault="00EF3960" w:rsidP="00D14803">
            <w:pPr>
              <w:jc w:val="right"/>
              <w:rPr>
                <w:b/>
                <w:bCs/>
              </w:rPr>
            </w:pPr>
          </w:p>
          <w:p w14:paraId="19E1F833" w14:textId="77777777" w:rsidR="00EF3960" w:rsidRDefault="00EF3960" w:rsidP="00D14803">
            <w:pPr>
              <w:jc w:val="right"/>
              <w:rPr>
                <w:b/>
                <w:bCs/>
              </w:rPr>
            </w:pPr>
            <w:r>
              <w:rPr>
                <w:b/>
                <w:bCs/>
              </w:rPr>
              <w:t>Approved by</w:t>
            </w:r>
          </w:p>
          <w:p w14:paraId="0CFB6FC8" w14:textId="77777777" w:rsidR="00EF3960" w:rsidRDefault="00EF3960" w:rsidP="00D14803">
            <w:pPr>
              <w:jc w:val="right"/>
              <w:rPr>
                <w:b/>
                <w:bCs/>
              </w:rPr>
            </w:pPr>
          </w:p>
        </w:tc>
        <w:tc>
          <w:tcPr>
            <w:tcW w:w="6762" w:type="dxa"/>
            <w:gridSpan w:val="3"/>
            <w:vAlign w:val="center"/>
          </w:tcPr>
          <w:p w14:paraId="24FC086D" w14:textId="77777777" w:rsidR="00EF3960" w:rsidRPr="008C3865" w:rsidRDefault="00EF3960" w:rsidP="00D14803">
            <w:r w:rsidRPr="008C3865">
              <w:t>UCB Guild HR Subcommittee</w:t>
            </w:r>
          </w:p>
        </w:tc>
      </w:tr>
      <w:tr w:rsidR="00EF3960" w14:paraId="4DBDF5EC" w14:textId="77777777" w:rsidTr="00D14803">
        <w:tc>
          <w:tcPr>
            <w:tcW w:w="2254" w:type="dxa"/>
            <w:shd w:val="clear" w:color="auto" w:fill="8EAADB" w:themeFill="accent1" w:themeFillTint="99"/>
            <w:vAlign w:val="center"/>
          </w:tcPr>
          <w:p w14:paraId="59854303" w14:textId="77777777" w:rsidR="00EF3960" w:rsidRDefault="00EF3960" w:rsidP="00D14803">
            <w:pPr>
              <w:jc w:val="right"/>
              <w:rPr>
                <w:b/>
                <w:bCs/>
              </w:rPr>
            </w:pPr>
          </w:p>
          <w:p w14:paraId="6868A07B" w14:textId="77777777" w:rsidR="00EF3960" w:rsidRDefault="00EF3960" w:rsidP="00D14803">
            <w:pPr>
              <w:jc w:val="right"/>
              <w:rPr>
                <w:b/>
                <w:bCs/>
              </w:rPr>
            </w:pPr>
            <w:r>
              <w:rPr>
                <w:b/>
                <w:bCs/>
              </w:rPr>
              <w:t>Noted/endorsed</w:t>
            </w:r>
          </w:p>
          <w:p w14:paraId="10E17916" w14:textId="77777777" w:rsidR="00EF3960" w:rsidRDefault="00EF3960" w:rsidP="00D14803">
            <w:pPr>
              <w:jc w:val="right"/>
              <w:rPr>
                <w:b/>
                <w:bCs/>
              </w:rPr>
            </w:pPr>
          </w:p>
        </w:tc>
        <w:tc>
          <w:tcPr>
            <w:tcW w:w="6762" w:type="dxa"/>
            <w:gridSpan w:val="3"/>
            <w:vAlign w:val="center"/>
          </w:tcPr>
          <w:p w14:paraId="34EEF1C6" w14:textId="77777777" w:rsidR="00EF3960" w:rsidRPr="008C3865" w:rsidRDefault="00EF3960" w:rsidP="00D14803">
            <w:r>
              <w:t>Guild Manager</w:t>
            </w:r>
          </w:p>
        </w:tc>
      </w:tr>
      <w:tr w:rsidR="00EF3960" w14:paraId="51376267" w14:textId="77777777" w:rsidTr="00D14803">
        <w:tc>
          <w:tcPr>
            <w:tcW w:w="2254" w:type="dxa"/>
            <w:shd w:val="clear" w:color="auto" w:fill="8EAADB" w:themeFill="accent1" w:themeFillTint="99"/>
            <w:vAlign w:val="center"/>
          </w:tcPr>
          <w:p w14:paraId="0B903308" w14:textId="77777777" w:rsidR="00EF3960" w:rsidRDefault="00EF3960" w:rsidP="00D14803">
            <w:pPr>
              <w:jc w:val="right"/>
              <w:rPr>
                <w:b/>
                <w:bCs/>
              </w:rPr>
            </w:pPr>
          </w:p>
          <w:p w14:paraId="36027AA5" w14:textId="642190F6" w:rsidR="00EF3960" w:rsidRDefault="00067738" w:rsidP="00D14803">
            <w:pPr>
              <w:jc w:val="right"/>
              <w:rPr>
                <w:b/>
                <w:bCs/>
              </w:rPr>
            </w:pPr>
            <w:r>
              <w:rPr>
                <w:b/>
                <w:bCs/>
              </w:rPr>
              <w:t>Applicable To</w:t>
            </w:r>
          </w:p>
          <w:p w14:paraId="1827E363" w14:textId="77777777" w:rsidR="00EF3960" w:rsidRDefault="00EF3960" w:rsidP="00D14803">
            <w:pPr>
              <w:jc w:val="right"/>
              <w:rPr>
                <w:b/>
                <w:bCs/>
              </w:rPr>
            </w:pPr>
          </w:p>
        </w:tc>
        <w:tc>
          <w:tcPr>
            <w:tcW w:w="6762" w:type="dxa"/>
            <w:gridSpan w:val="3"/>
            <w:vAlign w:val="center"/>
          </w:tcPr>
          <w:p w14:paraId="4D4AFF77" w14:textId="7EBD66DD" w:rsidR="00EF3960" w:rsidRPr="008C3865" w:rsidRDefault="00067738" w:rsidP="00D14803">
            <w:r>
              <w:t>All staff and officers</w:t>
            </w:r>
          </w:p>
        </w:tc>
      </w:tr>
      <w:tr w:rsidR="00EF3960" w14:paraId="2F2EE117" w14:textId="77777777" w:rsidTr="00D14803">
        <w:tc>
          <w:tcPr>
            <w:tcW w:w="2254" w:type="dxa"/>
            <w:shd w:val="clear" w:color="auto" w:fill="8EAADB" w:themeFill="accent1" w:themeFillTint="99"/>
            <w:vAlign w:val="center"/>
          </w:tcPr>
          <w:p w14:paraId="54C6F204" w14:textId="77777777" w:rsidR="00EF3960" w:rsidRDefault="00EF3960" w:rsidP="00D14803">
            <w:pPr>
              <w:jc w:val="right"/>
              <w:rPr>
                <w:b/>
                <w:bCs/>
              </w:rPr>
            </w:pPr>
          </w:p>
          <w:p w14:paraId="6F3F732B" w14:textId="77777777" w:rsidR="00EF3960" w:rsidRDefault="00EF3960" w:rsidP="00D14803">
            <w:pPr>
              <w:jc w:val="right"/>
              <w:rPr>
                <w:b/>
                <w:bCs/>
              </w:rPr>
            </w:pPr>
            <w:r>
              <w:rPr>
                <w:b/>
                <w:bCs/>
              </w:rPr>
              <w:t>Related policies</w:t>
            </w:r>
          </w:p>
          <w:p w14:paraId="70323227" w14:textId="77777777" w:rsidR="00EF3960" w:rsidRDefault="00EF3960" w:rsidP="00D14803">
            <w:pPr>
              <w:jc w:val="right"/>
              <w:rPr>
                <w:b/>
                <w:bCs/>
              </w:rPr>
            </w:pPr>
          </w:p>
        </w:tc>
        <w:tc>
          <w:tcPr>
            <w:tcW w:w="6762" w:type="dxa"/>
            <w:gridSpan w:val="3"/>
            <w:vAlign w:val="center"/>
          </w:tcPr>
          <w:p w14:paraId="50BAF3FC" w14:textId="77777777" w:rsidR="00EF3960" w:rsidRPr="008C3865" w:rsidRDefault="00EF3960" w:rsidP="00D14803"/>
        </w:tc>
      </w:tr>
    </w:tbl>
    <w:p w14:paraId="347E0154" w14:textId="77777777" w:rsidR="00EF3960" w:rsidRDefault="00EF3960" w:rsidP="00EF3960">
      <w:pPr>
        <w:rPr>
          <w:b/>
          <w:bCs/>
        </w:rPr>
      </w:pPr>
    </w:p>
    <w:tbl>
      <w:tblPr>
        <w:tblStyle w:val="TableGrid"/>
        <w:tblW w:w="0" w:type="auto"/>
        <w:tblLook w:val="04A0" w:firstRow="1" w:lastRow="0" w:firstColumn="1" w:lastColumn="0" w:noHBand="0" w:noVBand="1"/>
      </w:tblPr>
      <w:tblGrid>
        <w:gridCol w:w="2254"/>
        <w:gridCol w:w="2254"/>
        <w:gridCol w:w="2254"/>
        <w:gridCol w:w="2254"/>
      </w:tblGrid>
      <w:tr w:rsidR="00EF3960" w14:paraId="3500409D" w14:textId="77777777" w:rsidTr="00D14803">
        <w:tc>
          <w:tcPr>
            <w:tcW w:w="9016" w:type="dxa"/>
            <w:gridSpan w:val="4"/>
            <w:shd w:val="clear" w:color="auto" w:fill="1F3864" w:themeFill="accent1" w:themeFillShade="80"/>
            <w:vAlign w:val="center"/>
          </w:tcPr>
          <w:p w14:paraId="6105C26A" w14:textId="77777777" w:rsidR="00EF3960" w:rsidRPr="00C9475F" w:rsidRDefault="00EF3960" w:rsidP="00D14803">
            <w:pPr>
              <w:jc w:val="center"/>
              <w:rPr>
                <w:b/>
                <w:bCs/>
                <w:sz w:val="28"/>
                <w:szCs w:val="28"/>
              </w:rPr>
            </w:pPr>
            <w:r w:rsidRPr="00C9475F">
              <w:rPr>
                <w:b/>
                <w:bCs/>
                <w:sz w:val="28"/>
                <w:szCs w:val="28"/>
              </w:rPr>
              <w:t>REVIEW HISTORY</w:t>
            </w:r>
          </w:p>
        </w:tc>
      </w:tr>
      <w:tr w:rsidR="00EF3960" w14:paraId="5EAF6F94" w14:textId="77777777" w:rsidTr="00D14803">
        <w:tc>
          <w:tcPr>
            <w:tcW w:w="2254" w:type="dxa"/>
            <w:shd w:val="clear" w:color="auto" w:fill="8EAADB" w:themeFill="accent1" w:themeFillTint="99"/>
            <w:vAlign w:val="center"/>
          </w:tcPr>
          <w:p w14:paraId="65BB9449" w14:textId="77777777" w:rsidR="00EF3960" w:rsidRDefault="00EF3960" w:rsidP="00D14803">
            <w:pPr>
              <w:rPr>
                <w:b/>
                <w:bCs/>
              </w:rPr>
            </w:pPr>
            <w:r>
              <w:rPr>
                <w:b/>
                <w:bCs/>
              </w:rPr>
              <w:t>Date</w:t>
            </w:r>
          </w:p>
        </w:tc>
        <w:tc>
          <w:tcPr>
            <w:tcW w:w="2254" w:type="dxa"/>
            <w:shd w:val="clear" w:color="auto" w:fill="8EAADB" w:themeFill="accent1" w:themeFillTint="99"/>
            <w:vAlign w:val="center"/>
          </w:tcPr>
          <w:p w14:paraId="683498C5" w14:textId="77777777" w:rsidR="00EF3960" w:rsidRDefault="00EF3960" w:rsidP="00D14803">
            <w:pPr>
              <w:rPr>
                <w:b/>
                <w:bCs/>
              </w:rPr>
            </w:pPr>
            <w:r>
              <w:rPr>
                <w:b/>
                <w:bCs/>
              </w:rPr>
              <w:t>Name</w:t>
            </w:r>
          </w:p>
        </w:tc>
        <w:tc>
          <w:tcPr>
            <w:tcW w:w="2254" w:type="dxa"/>
            <w:shd w:val="clear" w:color="auto" w:fill="8EAADB" w:themeFill="accent1" w:themeFillTint="99"/>
            <w:vAlign w:val="center"/>
          </w:tcPr>
          <w:p w14:paraId="44D5BF1E" w14:textId="77777777" w:rsidR="00EF3960" w:rsidRDefault="00EF3960" w:rsidP="00D14803">
            <w:pPr>
              <w:rPr>
                <w:b/>
                <w:bCs/>
              </w:rPr>
            </w:pPr>
            <w:r>
              <w:rPr>
                <w:b/>
                <w:bCs/>
              </w:rPr>
              <w:t>Role</w:t>
            </w:r>
          </w:p>
        </w:tc>
        <w:tc>
          <w:tcPr>
            <w:tcW w:w="2254" w:type="dxa"/>
            <w:shd w:val="clear" w:color="auto" w:fill="8EAADB" w:themeFill="accent1" w:themeFillTint="99"/>
            <w:vAlign w:val="center"/>
          </w:tcPr>
          <w:p w14:paraId="5711BDE9" w14:textId="77777777" w:rsidR="00EF3960" w:rsidRDefault="00EF3960" w:rsidP="00D14803">
            <w:pPr>
              <w:rPr>
                <w:b/>
                <w:bCs/>
              </w:rPr>
            </w:pPr>
            <w:r>
              <w:rPr>
                <w:b/>
                <w:bCs/>
              </w:rPr>
              <w:t>Notes</w:t>
            </w:r>
          </w:p>
        </w:tc>
      </w:tr>
      <w:tr w:rsidR="00EF3960" w14:paraId="10D4566E" w14:textId="77777777" w:rsidTr="00D14803">
        <w:tc>
          <w:tcPr>
            <w:tcW w:w="2254" w:type="dxa"/>
            <w:vAlign w:val="center"/>
          </w:tcPr>
          <w:p w14:paraId="0B587C1A" w14:textId="77777777" w:rsidR="00EF3960" w:rsidRDefault="00EF3960" w:rsidP="00D14803">
            <w:pPr>
              <w:jc w:val="center"/>
            </w:pPr>
          </w:p>
          <w:p w14:paraId="5C9DA42C" w14:textId="77777777" w:rsidR="00EF3960" w:rsidRDefault="00EF3960" w:rsidP="00D14803">
            <w:pPr>
              <w:jc w:val="center"/>
            </w:pPr>
            <w:r>
              <w:t>28</w:t>
            </w:r>
            <w:r w:rsidRPr="00C9475F">
              <w:t>/06/2019</w:t>
            </w:r>
          </w:p>
          <w:p w14:paraId="26B004B4" w14:textId="77777777" w:rsidR="00EF3960" w:rsidRPr="00C9475F" w:rsidRDefault="00EF3960" w:rsidP="00D14803">
            <w:pPr>
              <w:jc w:val="center"/>
            </w:pPr>
          </w:p>
        </w:tc>
        <w:tc>
          <w:tcPr>
            <w:tcW w:w="2254" w:type="dxa"/>
            <w:vAlign w:val="center"/>
          </w:tcPr>
          <w:p w14:paraId="49B12344" w14:textId="77777777" w:rsidR="00EF3960" w:rsidRPr="00C9475F" w:rsidRDefault="00EF3960" w:rsidP="00D14803">
            <w:pPr>
              <w:jc w:val="center"/>
            </w:pPr>
            <w:r>
              <w:t>Sarah Kerton</w:t>
            </w:r>
          </w:p>
        </w:tc>
        <w:tc>
          <w:tcPr>
            <w:tcW w:w="2254" w:type="dxa"/>
            <w:vAlign w:val="center"/>
          </w:tcPr>
          <w:p w14:paraId="2BA2B22F" w14:textId="77777777" w:rsidR="00EF3960" w:rsidRPr="00C9475F" w:rsidRDefault="00EF3960" w:rsidP="00D14803">
            <w:pPr>
              <w:jc w:val="center"/>
            </w:pPr>
            <w:r>
              <w:t>Guild Manager, UCB Guild</w:t>
            </w:r>
          </w:p>
        </w:tc>
        <w:tc>
          <w:tcPr>
            <w:tcW w:w="2254" w:type="dxa"/>
            <w:vAlign w:val="center"/>
          </w:tcPr>
          <w:p w14:paraId="1B9A7DAF" w14:textId="78242842" w:rsidR="00EF3960" w:rsidRPr="00C9475F" w:rsidRDefault="00EF3960" w:rsidP="00D14803">
            <w:pPr>
              <w:jc w:val="center"/>
            </w:pPr>
            <w:r>
              <w:t>Creation of new policy and approval</w:t>
            </w:r>
            <w:r w:rsidR="009F68D4">
              <w:t xml:space="preserve"> by HR Subcommittee</w:t>
            </w:r>
          </w:p>
        </w:tc>
      </w:tr>
      <w:tr w:rsidR="00EF3960" w14:paraId="14F95972" w14:textId="77777777" w:rsidTr="00D14803">
        <w:tc>
          <w:tcPr>
            <w:tcW w:w="2254" w:type="dxa"/>
            <w:vAlign w:val="center"/>
          </w:tcPr>
          <w:p w14:paraId="3D0461C0" w14:textId="1B923C03" w:rsidR="00EF3960" w:rsidRPr="00C9475F" w:rsidRDefault="007E667C" w:rsidP="00D14803">
            <w:pPr>
              <w:jc w:val="center"/>
            </w:pPr>
            <w:bookmarkStart w:id="0" w:name="_GoBack" w:colFirst="0" w:colLast="3"/>
            <w:r>
              <w:t>31/10/2019</w:t>
            </w:r>
          </w:p>
        </w:tc>
        <w:tc>
          <w:tcPr>
            <w:tcW w:w="2254" w:type="dxa"/>
            <w:vAlign w:val="center"/>
          </w:tcPr>
          <w:p w14:paraId="6C26C788" w14:textId="3B181FEC" w:rsidR="00EF3960" w:rsidRPr="00C9475F" w:rsidRDefault="007E667C" w:rsidP="00D14803">
            <w:pPr>
              <w:jc w:val="center"/>
            </w:pPr>
            <w:r>
              <w:t>Sarah Kerton</w:t>
            </w:r>
          </w:p>
        </w:tc>
        <w:tc>
          <w:tcPr>
            <w:tcW w:w="2254" w:type="dxa"/>
            <w:vAlign w:val="center"/>
          </w:tcPr>
          <w:p w14:paraId="26C1A2DF" w14:textId="5FF22408" w:rsidR="00EF3960" w:rsidRPr="00C9475F" w:rsidRDefault="007E667C" w:rsidP="00D14803">
            <w:pPr>
              <w:jc w:val="center"/>
            </w:pPr>
            <w:r>
              <w:t>Guild Manager, UCB Guild</w:t>
            </w:r>
          </w:p>
        </w:tc>
        <w:tc>
          <w:tcPr>
            <w:tcW w:w="2254" w:type="dxa"/>
            <w:vAlign w:val="center"/>
          </w:tcPr>
          <w:p w14:paraId="6D91FF3B" w14:textId="5EC3AC02" w:rsidR="00EF3960" w:rsidRPr="00C9475F" w:rsidRDefault="007E667C" w:rsidP="00D14803">
            <w:pPr>
              <w:jc w:val="center"/>
            </w:pPr>
            <w:r>
              <w:t>Ratified by Trustee Board</w:t>
            </w:r>
          </w:p>
        </w:tc>
      </w:tr>
      <w:bookmarkEnd w:id="0"/>
    </w:tbl>
    <w:p w14:paraId="3CE92A2E" w14:textId="77777777" w:rsidR="00EF3960" w:rsidRDefault="00EF3960">
      <w:pPr>
        <w:rPr>
          <w:b/>
          <w:bCs/>
        </w:rPr>
      </w:pPr>
    </w:p>
    <w:p w14:paraId="5803F04A" w14:textId="77777777" w:rsidR="003E0FEE" w:rsidRPr="003E0FEE" w:rsidRDefault="0018120B">
      <w:pPr>
        <w:rPr>
          <w:b/>
          <w:bCs/>
        </w:rPr>
      </w:pPr>
      <w:r>
        <w:rPr>
          <w:b/>
          <w:bCs/>
        </w:rPr>
        <w:t>EXPENSES POLICY</w:t>
      </w:r>
    </w:p>
    <w:p w14:paraId="2A262EF6" w14:textId="77777777" w:rsidR="00A06F01" w:rsidRDefault="00A06F01" w:rsidP="006147D2">
      <w:pPr>
        <w:rPr>
          <w:b/>
          <w:bCs/>
        </w:rPr>
      </w:pPr>
      <w:r>
        <w:rPr>
          <w:b/>
          <w:bCs/>
        </w:rPr>
        <w:t>Summary</w:t>
      </w:r>
    </w:p>
    <w:p w14:paraId="15E4524F" w14:textId="77777777" w:rsidR="00A06F01" w:rsidRPr="00A06F01" w:rsidRDefault="00A06F01" w:rsidP="006147D2">
      <w:pPr>
        <w:rPr>
          <w:i/>
          <w:iCs/>
        </w:rPr>
      </w:pPr>
      <w:r>
        <w:rPr>
          <w:i/>
          <w:iCs/>
        </w:rPr>
        <w:t xml:space="preserve">This policy explains when you are able to claim expenses for undertaking your work for the Guild and how you would go about doing so. </w:t>
      </w:r>
    </w:p>
    <w:p w14:paraId="0F76A2B4" w14:textId="77777777" w:rsidR="009020DD" w:rsidRDefault="00A06F01" w:rsidP="00A06F01">
      <w:pPr>
        <w:pStyle w:val="ListParagraph"/>
        <w:numPr>
          <w:ilvl w:val="0"/>
          <w:numId w:val="7"/>
        </w:numPr>
        <w:rPr>
          <w:b/>
          <w:bCs/>
        </w:rPr>
      </w:pPr>
      <w:proofErr w:type="spellStart"/>
      <w:r>
        <w:rPr>
          <w:b/>
          <w:bCs/>
        </w:rPr>
        <w:t>Introduction</w:t>
      </w:r>
      <w:proofErr w:type="spellEnd"/>
    </w:p>
    <w:p w14:paraId="099AEDBE" w14:textId="34D5F722" w:rsidR="00A06F01" w:rsidRPr="009020DD" w:rsidRDefault="00A06F01" w:rsidP="009020DD">
      <w:pPr>
        <w:rPr>
          <w:b/>
          <w:bCs/>
        </w:rPr>
      </w:pPr>
      <w:r>
        <w:t xml:space="preserve">The Guild wishes to ensure that all staff and officers are reimbursed in a timely manner for costs incurred for the Guild in relation to undertaking their work. We wish to ensure that you do not remain out of pocket, nor incur large expenses at the Guild’s expense. At the same time, we have to ensure that we are paying expenses correctly for tax purposes. </w:t>
      </w:r>
    </w:p>
    <w:p w14:paraId="5559843D" w14:textId="4DC1EAE3" w:rsidR="00622397" w:rsidRPr="00A06F01" w:rsidRDefault="00A06F01" w:rsidP="00A06F01">
      <w:r>
        <w:t>The Guild will reimburse all expenses for travel,</w:t>
      </w:r>
      <w:r w:rsidR="00FD2989">
        <w:t xml:space="preserve"> food</w:t>
      </w:r>
      <w:r>
        <w:t>, accommodation and other activities carried out as part of your role, providing these expenses are agreed in advance with your line manager or the Guild Manager.</w:t>
      </w:r>
    </w:p>
    <w:p w14:paraId="6632FB70" w14:textId="77777777" w:rsidR="00A06F01" w:rsidRDefault="009F34BE" w:rsidP="009F34BE">
      <w:pPr>
        <w:pStyle w:val="ListParagraph"/>
        <w:numPr>
          <w:ilvl w:val="0"/>
          <w:numId w:val="7"/>
        </w:numPr>
        <w:rPr>
          <w:b/>
          <w:bCs/>
        </w:rPr>
      </w:pPr>
      <w:r>
        <w:rPr>
          <w:b/>
          <w:bCs/>
        </w:rPr>
        <w:t>Travelling for the Guild</w:t>
      </w:r>
    </w:p>
    <w:p w14:paraId="4CE4EB60" w14:textId="77777777" w:rsidR="009F34BE" w:rsidRDefault="009F34BE" w:rsidP="009F34BE">
      <w:r>
        <w:lastRenderedPageBreak/>
        <w:t xml:space="preserve">When travelling on Guild business, it is important to choose the most cost-effective method of travel possible with regard to time, distance and location of travel. This includes not only the cost of the transport itself, but the addition cost of your time as a staff member.  </w:t>
      </w:r>
    </w:p>
    <w:p w14:paraId="0526AD1A" w14:textId="77777777" w:rsidR="009F34BE" w:rsidRDefault="009F34BE" w:rsidP="009F34BE">
      <w:r>
        <w:t xml:space="preserve">If travelling via your own or a hired vehicle, it is expected that other Guild staff or officers taking the same journey will travel together, rather than a situation where one person is driving and others are also claiming for travel via public transport. This is for both economic and environmental purposes. </w:t>
      </w:r>
    </w:p>
    <w:p w14:paraId="37CB6F26" w14:textId="77777777" w:rsidR="009F34BE" w:rsidRPr="00931DB4" w:rsidRDefault="009F34BE" w:rsidP="009F34BE">
      <w:pPr>
        <w:rPr>
          <w:b/>
          <w:bCs/>
          <w:i/>
          <w:iCs/>
        </w:rPr>
      </w:pPr>
      <w:r w:rsidRPr="009F34BE">
        <w:rPr>
          <w:b/>
          <w:bCs/>
          <w:i/>
          <w:iCs/>
        </w:rPr>
        <w:t>Travelling by public transport</w:t>
      </w:r>
      <w:r w:rsidR="00931DB4">
        <w:rPr>
          <w:b/>
          <w:bCs/>
          <w:i/>
          <w:iCs/>
        </w:rPr>
        <w:br/>
      </w:r>
      <w:r>
        <w:t>We encourage travelling by public transport wherever possible, and unless avoidable.</w:t>
      </w:r>
    </w:p>
    <w:p w14:paraId="1273E132" w14:textId="77777777" w:rsidR="009F34BE" w:rsidRPr="009F34BE" w:rsidRDefault="009F34BE" w:rsidP="009F34BE">
      <w:pPr>
        <w:pStyle w:val="ListParagraph"/>
        <w:numPr>
          <w:ilvl w:val="0"/>
          <w:numId w:val="8"/>
        </w:numPr>
        <w:rPr>
          <w:u w:val="single"/>
        </w:rPr>
      </w:pPr>
      <w:r w:rsidRPr="009F34BE">
        <w:rPr>
          <w:u w:val="single"/>
        </w:rPr>
        <w:t>By bus, tram or local train</w:t>
      </w:r>
    </w:p>
    <w:p w14:paraId="0292ED38" w14:textId="77777777" w:rsidR="009F34BE" w:rsidRDefault="009F34BE" w:rsidP="009F34BE">
      <w:pPr>
        <w:pStyle w:val="ListParagraph"/>
      </w:pPr>
      <w:r>
        <w:t xml:space="preserve">In the city of Birmingham or local area, wherever possible travel should be undertaken by public transport. If it is impossible due to location, task being undertaken or time of night, then a taxi can be taken and reimbursed but only with prior agreement of your line manager or, in their absence, the Guild Manager. Circumstances a taxi would be acceptable could include moving large amounts of heavy items that are not possible to move via public transport, or completing your journey alone after dark following undertaking Guild business. </w:t>
      </w:r>
    </w:p>
    <w:p w14:paraId="59A33DB5" w14:textId="77777777" w:rsidR="009F34BE" w:rsidRDefault="009F34BE" w:rsidP="009F34BE">
      <w:pPr>
        <w:pStyle w:val="ListParagraph"/>
      </w:pPr>
    </w:p>
    <w:p w14:paraId="668323B8" w14:textId="77777777" w:rsidR="009F34BE" w:rsidRDefault="009F34BE" w:rsidP="009F34BE">
      <w:pPr>
        <w:pStyle w:val="ListParagraph"/>
      </w:pPr>
      <w:r>
        <w:t xml:space="preserve">In all cases, travel should be via standard class unless it can be demonstrated that a first class ticket was cheaper than a standard class one. </w:t>
      </w:r>
    </w:p>
    <w:p w14:paraId="4FFE27F4" w14:textId="77777777" w:rsidR="009F34BE" w:rsidRDefault="009F34BE" w:rsidP="009F34BE">
      <w:pPr>
        <w:pStyle w:val="ListParagraph"/>
      </w:pPr>
    </w:p>
    <w:p w14:paraId="644F9ADF" w14:textId="77777777" w:rsidR="009F34BE" w:rsidRPr="009F34BE" w:rsidRDefault="009F34BE" w:rsidP="009F34BE">
      <w:pPr>
        <w:pStyle w:val="ListParagraph"/>
        <w:numPr>
          <w:ilvl w:val="0"/>
          <w:numId w:val="8"/>
        </w:numPr>
        <w:rPr>
          <w:u w:val="single"/>
        </w:rPr>
      </w:pPr>
      <w:r w:rsidRPr="009F34BE">
        <w:rPr>
          <w:u w:val="single"/>
        </w:rPr>
        <w:t>By plane</w:t>
      </w:r>
    </w:p>
    <w:p w14:paraId="5CF5580B" w14:textId="77777777" w:rsidR="009F34BE" w:rsidRDefault="009F34BE" w:rsidP="009F34BE">
      <w:pPr>
        <w:pStyle w:val="ListParagraph"/>
      </w:pPr>
      <w:r>
        <w:t xml:space="preserve">In some instances, for example travelling abroad or a far distance, it may be more cost and time effective to travel by plane. Again, this would need to be by prior agreement of your line manager or, in their absence, the Guild Manager. </w:t>
      </w:r>
    </w:p>
    <w:p w14:paraId="4B3F8193" w14:textId="77777777" w:rsidR="009F34BE" w:rsidRPr="009F34BE" w:rsidRDefault="009F34BE" w:rsidP="009F34BE">
      <w:pPr>
        <w:pStyle w:val="ListParagraph"/>
      </w:pPr>
    </w:p>
    <w:p w14:paraId="5E5ACD9A" w14:textId="77777777" w:rsidR="00A23E3D" w:rsidRDefault="00A06F01" w:rsidP="006147D2">
      <w:r w:rsidRPr="009F34BE">
        <w:rPr>
          <w:b/>
          <w:bCs/>
          <w:i/>
          <w:iCs/>
        </w:rPr>
        <w:t>Travelling by own vehicle for work</w:t>
      </w:r>
      <w:r w:rsidR="00A23E3D" w:rsidRPr="009F34BE">
        <w:rPr>
          <w:i/>
          <w:iCs/>
        </w:rPr>
        <w:t xml:space="preserve"> </w:t>
      </w:r>
      <w:r>
        <w:br/>
      </w:r>
      <w:r w:rsidR="009F34BE">
        <w:t xml:space="preserve">There are some instances where travelling by your own vehicle is more time and cost effective. </w:t>
      </w:r>
      <w:r w:rsidR="00A23E3D">
        <w:t>All staff and officers</w:t>
      </w:r>
      <w:r w:rsidR="009F34BE">
        <w:t xml:space="preserve"> </w:t>
      </w:r>
      <w:r w:rsidR="00A23E3D">
        <w:t>will be required to have appropriate business insurance in place for driving for work purposes</w:t>
      </w:r>
      <w:r w:rsidR="009F34BE">
        <w:t xml:space="preserve"> before they drive for work and before they are able to claim any mileage</w:t>
      </w:r>
      <w:r w:rsidR="00A23E3D">
        <w:t xml:space="preserve">. A record of this should be given to the Guild Manager before driving a vehicle for work purposes. </w:t>
      </w:r>
    </w:p>
    <w:p w14:paraId="5C8E67AF" w14:textId="77777777" w:rsidR="009F34BE" w:rsidRDefault="00A23E3D" w:rsidP="009F34BE">
      <w:r>
        <w:t xml:space="preserve">Mileage will be reimbursed to staff at the current HMRC Mileage Allowance Rate for work related travel e.g. to meetings. </w:t>
      </w:r>
    </w:p>
    <w:p w14:paraId="5E2C7D23" w14:textId="77777777" w:rsidR="00A06F01" w:rsidRDefault="00A23E3D" w:rsidP="006147D2">
      <w:r>
        <w:t xml:space="preserve">No travel between home and office will be paid by the </w:t>
      </w:r>
      <w:r w:rsidR="00A06F01">
        <w:t>Guild</w:t>
      </w:r>
      <w:r>
        <w:t xml:space="preserve">. </w:t>
      </w:r>
    </w:p>
    <w:p w14:paraId="6BC99C60" w14:textId="77777777" w:rsidR="00622397" w:rsidRDefault="00622397" w:rsidP="006147D2"/>
    <w:p w14:paraId="308107F6" w14:textId="77777777" w:rsidR="00931DB4" w:rsidRPr="00931DB4" w:rsidRDefault="00931DB4" w:rsidP="00931DB4">
      <w:pPr>
        <w:pStyle w:val="ListParagraph"/>
        <w:numPr>
          <w:ilvl w:val="0"/>
          <w:numId w:val="7"/>
        </w:numPr>
        <w:rPr>
          <w:b/>
          <w:bCs/>
        </w:rPr>
      </w:pPr>
      <w:r w:rsidRPr="00931DB4">
        <w:rPr>
          <w:b/>
          <w:bCs/>
        </w:rPr>
        <w:t>Accommodation whilst on Guild business</w:t>
      </w:r>
    </w:p>
    <w:p w14:paraId="611B3039" w14:textId="77777777" w:rsidR="00931DB4" w:rsidRDefault="00931DB4" w:rsidP="006147D2">
      <w:r>
        <w:t>If you have to stay overnight from home whilst on Guild business, the cost of your overnight accommodation will be reimbursed. S</w:t>
      </w:r>
      <w:r w:rsidR="00A23E3D">
        <w:t xml:space="preserve">elected hotels should represent the best combination of economy and convenience, </w:t>
      </w:r>
      <w:r>
        <w:t xml:space="preserve">and the cost should be agreed in advance with your line manager. </w:t>
      </w:r>
    </w:p>
    <w:p w14:paraId="6B15DBF6" w14:textId="77777777" w:rsidR="00622397" w:rsidRDefault="00622397" w:rsidP="006147D2"/>
    <w:p w14:paraId="40A463BA" w14:textId="77777777" w:rsidR="00931DB4" w:rsidRPr="00622397" w:rsidRDefault="00622397" w:rsidP="00931DB4">
      <w:pPr>
        <w:pStyle w:val="ListParagraph"/>
        <w:numPr>
          <w:ilvl w:val="0"/>
          <w:numId w:val="7"/>
        </w:numPr>
        <w:rPr>
          <w:b/>
          <w:bCs/>
        </w:rPr>
      </w:pPr>
      <w:r>
        <w:rPr>
          <w:b/>
          <w:bCs/>
        </w:rPr>
        <w:t>Food and drink</w:t>
      </w:r>
      <w:r w:rsidR="00931DB4" w:rsidRPr="00622397">
        <w:rPr>
          <w:b/>
          <w:bCs/>
        </w:rPr>
        <w:t xml:space="preserve"> whil</w:t>
      </w:r>
      <w:r>
        <w:rPr>
          <w:b/>
          <w:bCs/>
        </w:rPr>
        <w:t xml:space="preserve">e away </w:t>
      </w:r>
      <w:r w:rsidR="00931DB4" w:rsidRPr="00622397">
        <w:rPr>
          <w:b/>
          <w:bCs/>
        </w:rPr>
        <w:t>on Guild business</w:t>
      </w:r>
    </w:p>
    <w:p w14:paraId="7D92BE0B" w14:textId="77777777" w:rsidR="00931DB4" w:rsidRDefault="00931DB4" w:rsidP="00931DB4">
      <w:r>
        <w:t xml:space="preserve">Expenses for costs of food and refreshments incurred while away from the office will be as per </w:t>
      </w:r>
      <w:r w:rsidR="00622397">
        <w:t>HMRC benchmark subsistence rates</w:t>
      </w:r>
      <w:r>
        <w:t xml:space="preserve"> which are currently:</w:t>
      </w:r>
    </w:p>
    <w:p w14:paraId="0191A648" w14:textId="77777777" w:rsidR="00622397" w:rsidRDefault="00622397" w:rsidP="00622397">
      <w:pPr>
        <w:pStyle w:val="ListParagraph"/>
        <w:numPr>
          <w:ilvl w:val="0"/>
          <w:numId w:val="8"/>
        </w:numPr>
      </w:pPr>
      <w:r>
        <w:t>£5 for expenses incurred when away for the office for 5 hours or more;</w:t>
      </w:r>
    </w:p>
    <w:p w14:paraId="4BA4DC6A" w14:textId="77777777" w:rsidR="00622397" w:rsidRDefault="00622397" w:rsidP="00622397">
      <w:pPr>
        <w:pStyle w:val="ListParagraph"/>
        <w:numPr>
          <w:ilvl w:val="0"/>
          <w:numId w:val="8"/>
        </w:numPr>
        <w:tabs>
          <w:tab w:val="left" w:pos="7365"/>
        </w:tabs>
      </w:pPr>
      <w:r>
        <w:t>£10 for expenses incurred when away from the office for 10 hours or more;</w:t>
      </w:r>
      <w:r>
        <w:tab/>
      </w:r>
    </w:p>
    <w:p w14:paraId="0EA8BA8F" w14:textId="77777777" w:rsidR="00622397" w:rsidRDefault="00622397" w:rsidP="00622397">
      <w:pPr>
        <w:pStyle w:val="ListParagraph"/>
        <w:numPr>
          <w:ilvl w:val="0"/>
          <w:numId w:val="8"/>
        </w:numPr>
        <w:tabs>
          <w:tab w:val="left" w:pos="7365"/>
        </w:tabs>
      </w:pPr>
      <w:r>
        <w:t xml:space="preserve">£25 for expenses incurred when away from the office for 15 hours or more. </w:t>
      </w:r>
    </w:p>
    <w:p w14:paraId="7A09BC0A" w14:textId="77777777" w:rsidR="00622397" w:rsidRDefault="00931DB4" w:rsidP="00931DB4">
      <w:r>
        <w:t xml:space="preserve">You will only be reimbursed for meals and drinks you buy during an overnight stay, on business, or on a journey, where they are not included as part of the conference, event or hotel package. </w:t>
      </w:r>
    </w:p>
    <w:p w14:paraId="627FBF65" w14:textId="77777777" w:rsidR="00931DB4" w:rsidRDefault="00622397" w:rsidP="006147D2">
      <w:r>
        <w:t xml:space="preserve">Under no circumstances can alcohol be reimbursed or paid for. </w:t>
      </w:r>
    </w:p>
    <w:p w14:paraId="59DE77F5" w14:textId="77777777" w:rsidR="00622397" w:rsidRDefault="00622397" w:rsidP="006147D2"/>
    <w:p w14:paraId="46ACCBEB" w14:textId="77777777" w:rsidR="00622397" w:rsidRPr="00FD2989" w:rsidRDefault="00FD2989" w:rsidP="00622397">
      <w:pPr>
        <w:pStyle w:val="ListParagraph"/>
        <w:numPr>
          <w:ilvl w:val="0"/>
          <w:numId w:val="7"/>
        </w:numPr>
        <w:rPr>
          <w:b/>
          <w:bCs/>
        </w:rPr>
      </w:pPr>
      <w:r w:rsidRPr="00FD2989">
        <w:rPr>
          <w:b/>
          <w:bCs/>
        </w:rPr>
        <w:t>Extra expenses</w:t>
      </w:r>
    </w:p>
    <w:p w14:paraId="6E17CF02" w14:textId="2AE88D7D" w:rsidR="00FD2989" w:rsidRDefault="00FD2989" w:rsidP="00FD2989">
      <w:r>
        <w:t xml:space="preserve">There are circumstances where extra expenses may be incurred as part of your role, for example car parking where travelling. In these instances, both the type of expense and its amount must be agreed in advance with your line manager or, in their absence, the Guild Manager. </w:t>
      </w:r>
    </w:p>
    <w:p w14:paraId="3688B155" w14:textId="77777777" w:rsidR="00D61C14" w:rsidRDefault="00D61C14" w:rsidP="00FD2989"/>
    <w:p w14:paraId="76D6319F" w14:textId="3507C7D8" w:rsidR="00D61C14" w:rsidRPr="00D61C14" w:rsidRDefault="00D61C14" w:rsidP="00D61C14">
      <w:pPr>
        <w:pStyle w:val="ListParagraph"/>
        <w:numPr>
          <w:ilvl w:val="0"/>
          <w:numId w:val="7"/>
        </w:numPr>
        <w:rPr>
          <w:b/>
          <w:bCs/>
        </w:rPr>
      </w:pPr>
      <w:r w:rsidRPr="00D61C14">
        <w:rPr>
          <w:b/>
          <w:bCs/>
        </w:rPr>
        <w:t>Hospitality</w:t>
      </w:r>
    </w:p>
    <w:p w14:paraId="068A8BA1" w14:textId="56B2660A" w:rsidR="00D61C14" w:rsidRDefault="00D61C14" w:rsidP="00D61C14">
      <w:r>
        <w:t xml:space="preserve">Reasonable hospitality costs will be covered under this expenses policy, with prior agreement with the Guild Manager or President for staff and officers respectively. The Trustee Board will retain oversight of the overall hospitality spend. </w:t>
      </w:r>
    </w:p>
    <w:p w14:paraId="226D7B5C" w14:textId="77777777" w:rsidR="00FD2989" w:rsidRDefault="00FD2989" w:rsidP="00FD2989"/>
    <w:p w14:paraId="5D22472C" w14:textId="77777777" w:rsidR="00931DB4" w:rsidRPr="00622397" w:rsidRDefault="00931DB4" w:rsidP="00622397">
      <w:pPr>
        <w:pStyle w:val="ListParagraph"/>
        <w:numPr>
          <w:ilvl w:val="0"/>
          <w:numId w:val="7"/>
        </w:numPr>
        <w:rPr>
          <w:b/>
          <w:bCs/>
        </w:rPr>
      </w:pPr>
      <w:r w:rsidRPr="00622397">
        <w:rPr>
          <w:b/>
          <w:bCs/>
        </w:rPr>
        <w:t>How to claim</w:t>
      </w:r>
    </w:p>
    <w:p w14:paraId="07113928" w14:textId="45A2142B" w:rsidR="00FD2989" w:rsidRDefault="00FD2989" w:rsidP="00931DB4">
      <w:r>
        <w:t xml:space="preserve">Expenses can be claimed </w:t>
      </w:r>
      <w:r w:rsidR="00D61C14">
        <w:t>via the process as informed by your Manager.</w:t>
      </w:r>
    </w:p>
    <w:p w14:paraId="3ACA62A9" w14:textId="77777777" w:rsidR="00FD2989" w:rsidRDefault="00FD2989" w:rsidP="00931DB4">
      <w:r>
        <w:t xml:space="preserve">Only claims which have been pre-authorised where applicable will be reimbursed. Spend up to the authorised allowance is agreed by virtue of an agreement to undertake a business trip of a certain length. For all extra expenses, or anything that required pre-approval, expenses will not be paid for anything that did not receive explicit authorisation – so please ensure that you are getting this to avoid being out of pocket. </w:t>
      </w:r>
    </w:p>
    <w:p w14:paraId="0137D0E7" w14:textId="77777777" w:rsidR="00931DB4" w:rsidRDefault="00FD2989" w:rsidP="00931DB4">
      <w:r>
        <w:t>R</w:t>
      </w:r>
      <w:r w:rsidR="00931DB4">
        <w:t>eceipt</w:t>
      </w:r>
      <w:r>
        <w:t xml:space="preserve">s and </w:t>
      </w:r>
      <w:r w:rsidR="00931DB4">
        <w:t>ticket</w:t>
      </w:r>
      <w:r>
        <w:t>s</w:t>
      </w:r>
      <w:r w:rsidR="00931DB4">
        <w:t xml:space="preserve"> should be attached to the travel expenses form in support of your clai</w:t>
      </w:r>
      <w:r>
        <w:t xml:space="preserve">m. Expenses cannot be paid without receipts. Please ensure that you are receiving a VAT receipt, where applicable, for all accrued expenses. </w:t>
      </w:r>
    </w:p>
    <w:p w14:paraId="5555E9C9" w14:textId="77777777" w:rsidR="00FD2989" w:rsidRDefault="00FD2989" w:rsidP="009F34BE">
      <w:r>
        <w:t xml:space="preserve">All expenses must be submitted within three months of the accrual of the expenses otherwise they cannot be claimed. </w:t>
      </w:r>
    </w:p>
    <w:sectPr w:rsidR="00FD298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27796" w14:textId="77777777" w:rsidR="00085DC3" w:rsidRDefault="00085DC3" w:rsidP="00EF3960">
      <w:pPr>
        <w:spacing w:after="0" w:line="240" w:lineRule="auto"/>
      </w:pPr>
      <w:r>
        <w:separator/>
      </w:r>
    </w:p>
  </w:endnote>
  <w:endnote w:type="continuationSeparator" w:id="0">
    <w:p w14:paraId="1CCB964D" w14:textId="77777777" w:rsidR="00085DC3" w:rsidRDefault="00085DC3" w:rsidP="00EF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EAADB" w:themeColor="accent1" w:themeTint="99"/>
      </w:rPr>
      <w:id w:val="1388302639"/>
      <w:docPartObj>
        <w:docPartGallery w:val="Page Numbers (Bottom of Page)"/>
        <w:docPartUnique/>
      </w:docPartObj>
    </w:sdtPr>
    <w:sdtEndPr>
      <w:rPr>
        <w:spacing w:val="60"/>
      </w:rPr>
    </w:sdtEndPr>
    <w:sdtContent>
      <w:p w14:paraId="2DA1A8D5" w14:textId="77777777" w:rsidR="00EF3960" w:rsidRPr="00EF3960" w:rsidRDefault="00EF3960">
        <w:pPr>
          <w:pStyle w:val="Footer"/>
          <w:pBdr>
            <w:top w:val="single" w:sz="4" w:space="1" w:color="D9D9D9" w:themeColor="background1" w:themeShade="D9"/>
          </w:pBdr>
          <w:jc w:val="right"/>
          <w:rPr>
            <w:color w:val="8EAADB" w:themeColor="accent1" w:themeTint="99"/>
          </w:rPr>
        </w:pPr>
        <w:r w:rsidRPr="00EF3960">
          <w:rPr>
            <w:color w:val="8EAADB" w:themeColor="accent1" w:themeTint="99"/>
          </w:rPr>
          <w:fldChar w:fldCharType="begin"/>
        </w:r>
        <w:r w:rsidRPr="00EF3960">
          <w:rPr>
            <w:color w:val="8EAADB" w:themeColor="accent1" w:themeTint="99"/>
          </w:rPr>
          <w:instrText xml:space="preserve"> PAGE   \* MERGEFORMAT </w:instrText>
        </w:r>
        <w:r w:rsidRPr="00EF3960">
          <w:rPr>
            <w:color w:val="8EAADB" w:themeColor="accent1" w:themeTint="99"/>
          </w:rPr>
          <w:fldChar w:fldCharType="separate"/>
        </w:r>
        <w:r w:rsidRPr="00EF3960">
          <w:rPr>
            <w:noProof/>
            <w:color w:val="8EAADB" w:themeColor="accent1" w:themeTint="99"/>
          </w:rPr>
          <w:t>2</w:t>
        </w:r>
        <w:r w:rsidRPr="00EF3960">
          <w:rPr>
            <w:noProof/>
            <w:color w:val="8EAADB" w:themeColor="accent1" w:themeTint="99"/>
          </w:rPr>
          <w:fldChar w:fldCharType="end"/>
        </w:r>
        <w:r w:rsidRPr="00EF3960">
          <w:rPr>
            <w:color w:val="8EAADB" w:themeColor="accent1" w:themeTint="99"/>
          </w:rPr>
          <w:t xml:space="preserve"> | </w:t>
        </w:r>
        <w:r w:rsidRPr="00EF3960">
          <w:rPr>
            <w:color w:val="8EAADB" w:themeColor="accent1" w:themeTint="99"/>
            <w:spacing w:val="60"/>
          </w:rPr>
          <w:t>Page</w:t>
        </w:r>
      </w:p>
    </w:sdtContent>
  </w:sdt>
  <w:p w14:paraId="2DD6D11E" w14:textId="77777777" w:rsidR="00EF3960" w:rsidRDefault="00EF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86994" w14:textId="77777777" w:rsidR="00085DC3" w:rsidRDefault="00085DC3" w:rsidP="00EF3960">
      <w:pPr>
        <w:spacing w:after="0" w:line="240" w:lineRule="auto"/>
      </w:pPr>
      <w:r>
        <w:separator/>
      </w:r>
    </w:p>
  </w:footnote>
  <w:footnote w:type="continuationSeparator" w:id="0">
    <w:p w14:paraId="5A4B71CB" w14:textId="77777777" w:rsidR="00085DC3" w:rsidRDefault="00085DC3" w:rsidP="00EF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998" w:type="dxa"/>
      <w:tblLook w:val="04A0" w:firstRow="1" w:lastRow="0" w:firstColumn="1" w:lastColumn="0" w:noHBand="0" w:noVBand="1"/>
    </w:tblPr>
    <w:tblGrid>
      <w:gridCol w:w="2144"/>
      <w:gridCol w:w="8772"/>
    </w:tblGrid>
    <w:tr w:rsidR="00EF3960" w:rsidRPr="00C9475F" w14:paraId="2B16787F" w14:textId="77777777" w:rsidTr="00D14803">
      <w:tc>
        <w:tcPr>
          <w:tcW w:w="2144" w:type="dxa"/>
          <w:tcBorders>
            <w:top w:val="nil"/>
            <w:left w:val="nil"/>
            <w:bottom w:val="nil"/>
            <w:right w:val="nil"/>
          </w:tcBorders>
        </w:tcPr>
        <w:p w14:paraId="0D12E392" w14:textId="77777777" w:rsidR="00EF3960" w:rsidRDefault="00EF3960" w:rsidP="00EF3960">
          <w:pPr>
            <w:pStyle w:val="Header"/>
          </w:pPr>
          <w:r>
            <w:rPr>
              <w:noProof/>
            </w:rPr>
            <w:drawing>
              <wp:inline distT="0" distB="0" distL="0" distR="0" wp14:anchorId="7C5B483C" wp14:editId="54EF209A">
                <wp:extent cx="690563" cy="690563"/>
                <wp:effectExtent l="0" t="0" r="0" b="0"/>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 logo.png"/>
                        <pic:cNvPicPr/>
                      </pic:nvPicPr>
                      <pic:blipFill>
                        <a:blip r:embed="rId1">
                          <a:extLst>
                            <a:ext uri="{28A0092B-C50C-407E-A947-70E740481C1C}">
                              <a14:useLocalDpi xmlns:a14="http://schemas.microsoft.com/office/drawing/2010/main" val="0"/>
                            </a:ext>
                          </a:extLst>
                        </a:blip>
                        <a:stretch>
                          <a:fillRect/>
                        </a:stretch>
                      </pic:blipFill>
                      <pic:spPr>
                        <a:xfrm>
                          <a:off x="0" y="0"/>
                          <a:ext cx="694369" cy="694369"/>
                        </a:xfrm>
                        <a:prstGeom prst="rect">
                          <a:avLst/>
                        </a:prstGeom>
                      </pic:spPr>
                    </pic:pic>
                  </a:graphicData>
                </a:graphic>
              </wp:inline>
            </w:drawing>
          </w:r>
        </w:p>
      </w:tc>
      <w:tc>
        <w:tcPr>
          <w:tcW w:w="8772" w:type="dxa"/>
          <w:tcBorders>
            <w:top w:val="nil"/>
            <w:left w:val="nil"/>
            <w:bottom w:val="nil"/>
            <w:right w:val="nil"/>
          </w:tcBorders>
          <w:vAlign w:val="bottom"/>
        </w:tcPr>
        <w:p w14:paraId="28B10B97" w14:textId="77777777" w:rsidR="00EF3960" w:rsidRPr="00C9475F" w:rsidRDefault="00EF3960" w:rsidP="00EF3960">
          <w:pPr>
            <w:pStyle w:val="Header"/>
            <w:jc w:val="right"/>
            <w:rPr>
              <w:b/>
              <w:bCs/>
              <w:sz w:val="52"/>
              <w:szCs w:val="52"/>
            </w:rPr>
          </w:pPr>
          <w:r w:rsidRPr="00C9475F">
            <w:rPr>
              <w:b/>
              <w:bCs/>
              <w:color w:val="1F3864" w:themeColor="accent1" w:themeShade="80"/>
              <w:sz w:val="52"/>
              <w:szCs w:val="52"/>
            </w:rPr>
            <w:t xml:space="preserve">UCB Guild </w:t>
          </w:r>
          <w:r>
            <w:rPr>
              <w:b/>
              <w:bCs/>
              <w:color w:val="1F3864" w:themeColor="accent1" w:themeShade="80"/>
              <w:sz w:val="52"/>
              <w:szCs w:val="52"/>
            </w:rPr>
            <w:t>Expenses</w:t>
          </w:r>
          <w:r w:rsidRPr="00C9475F">
            <w:rPr>
              <w:b/>
              <w:bCs/>
              <w:color w:val="1F3864" w:themeColor="accent1" w:themeShade="80"/>
              <w:sz w:val="52"/>
              <w:szCs w:val="52"/>
            </w:rPr>
            <w:t xml:space="preserve"> Policy</w:t>
          </w:r>
        </w:p>
      </w:tc>
    </w:tr>
  </w:tbl>
  <w:p w14:paraId="18197568" w14:textId="77777777" w:rsidR="00EF3960" w:rsidRDefault="00EF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675BF"/>
    <w:multiLevelType w:val="hybridMultilevel"/>
    <w:tmpl w:val="D9704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D1E3C"/>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E27660"/>
    <w:multiLevelType w:val="hybridMultilevel"/>
    <w:tmpl w:val="445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44F61"/>
    <w:multiLevelType w:val="hybridMultilevel"/>
    <w:tmpl w:val="181A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D27CD"/>
    <w:multiLevelType w:val="hybridMultilevel"/>
    <w:tmpl w:val="575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62E38"/>
    <w:multiLevelType w:val="hybridMultilevel"/>
    <w:tmpl w:val="B07A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77C1D"/>
    <w:multiLevelType w:val="hybridMultilevel"/>
    <w:tmpl w:val="8CA0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12D2F"/>
    <w:multiLevelType w:val="hybridMultilevel"/>
    <w:tmpl w:val="AF82AC4E"/>
    <w:lvl w:ilvl="0" w:tplc="B30E99DA">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3"/>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AC"/>
    <w:rsid w:val="000602FF"/>
    <w:rsid w:val="00067738"/>
    <w:rsid w:val="00081764"/>
    <w:rsid w:val="00085DC3"/>
    <w:rsid w:val="0018120B"/>
    <w:rsid w:val="00326259"/>
    <w:rsid w:val="003E0FEE"/>
    <w:rsid w:val="004B6599"/>
    <w:rsid w:val="004C585C"/>
    <w:rsid w:val="005C658C"/>
    <w:rsid w:val="006147D2"/>
    <w:rsid w:val="00622397"/>
    <w:rsid w:val="007E667C"/>
    <w:rsid w:val="007F04A8"/>
    <w:rsid w:val="00823293"/>
    <w:rsid w:val="009020DD"/>
    <w:rsid w:val="00906228"/>
    <w:rsid w:val="00931DB4"/>
    <w:rsid w:val="009421AC"/>
    <w:rsid w:val="009520FF"/>
    <w:rsid w:val="009F19B5"/>
    <w:rsid w:val="009F34BE"/>
    <w:rsid w:val="009F68D4"/>
    <w:rsid w:val="00A06F01"/>
    <w:rsid w:val="00A17807"/>
    <w:rsid w:val="00A23E3D"/>
    <w:rsid w:val="00AA3322"/>
    <w:rsid w:val="00BA7F24"/>
    <w:rsid w:val="00BF377D"/>
    <w:rsid w:val="00BF56E4"/>
    <w:rsid w:val="00C1490E"/>
    <w:rsid w:val="00C55991"/>
    <w:rsid w:val="00CA2E09"/>
    <w:rsid w:val="00D61C14"/>
    <w:rsid w:val="00E8793C"/>
    <w:rsid w:val="00EF3960"/>
    <w:rsid w:val="00F1291E"/>
    <w:rsid w:val="00F40E9E"/>
    <w:rsid w:val="00FD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7A9D"/>
  <w15:chartTrackingRefBased/>
  <w15:docId w15:val="{D7A51338-AF25-4192-8ED9-92DB4686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7D"/>
    <w:pPr>
      <w:ind w:left="720"/>
      <w:contextualSpacing/>
    </w:pPr>
  </w:style>
  <w:style w:type="paragraph" w:styleId="Header">
    <w:name w:val="header"/>
    <w:basedOn w:val="Normal"/>
    <w:link w:val="HeaderChar"/>
    <w:uiPriority w:val="99"/>
    <w:unhideWhenUsed/>
    <w:rsid w:val="00EF3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60"/>
  </w:style>
  <w:style w:type="paragraph" w:styleId="Footer">
    <w:name w:val="footer"/>
    <w:basedOn w:val="Normal"/>
    <w:link w:val="FooterChar"/>
    <w:uiPriority w:val="99"/>
    <w:unhideWhenUsed/>
    <w:rsid w:val="00EF3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60"/>
  </w:style>
  <w:style w:type="table" w:styleId="TableGrid">
    <w:name w:val="Table Grid"/>
    <w:basedOn w:val="TableNormal"/>
    <w:uiPriority w:val="39"/>
    <w:rsid w:val="00EF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Kerton</dc:creator>
  <cp:keywords/>
  <dc:description/>
  <cp:lastModifiedBy>Sarah Kerton</cp:lastModifiedBy>
  <cp:revision>4</cp:revision>
  <dcterms:created xsi:type="dcterms:W3CDTF">2020-01-27T22:41:00Z</dcterms:created>
  <dcterms:modified xsi:type="dcterms:W3CDTF">2020-01-27T23:11:00Z</dcterms:modified>
</cp:coreProperties>
</file>